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FF00"/>
          <w:highlight w:val="white"/>
        </w:rPr>
      </w:pPr>
      <w:r>
        <w:rPr>
          <w:color w:val="000000"/>
          <w:highlight w:val="white"/>
        </w:rPr>
        <w:t>ДОГОВОР ПОДРЯДА №</w:t>
      </w:r>
      <w:r>
        <w:rPr>
          <w:highlight w:val="white"/>
        </w:rPr>
        <w:t xml:space="preserve"> _______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tbl>
      <w:tblPr>
        <w:tblStyle w:val="af6"/>
        <w:tblW w:w="92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81"/>
        <w:gridCol w:w="2667"/>
      </w:tblGrid>
      <w:tr w:rsidR="00A52567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г. </w:t>
            </w:r>
            <w:r>
              <w:rPr>
                <w:highlight w:val="white"/>
              </w:rPr>
              <w:t>_________________</w:t>
            </w:r>
          </w:p>
        </w:tc>
        <w:tc>
          <w:tcPr>
            <w:tcW w:w="26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___________________г.</w:t>
            </w:r>
          </w:p>
        </w:tc>
      </w:tr>
    </w:tbl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highlight w:val="white"/>
        </w:rPr>
        <w:t xml:space="preserve">_________________ </w:t>
      </w:r>
      <w:r>
        <w:rPr>
          <w:color w:val="000000"/>
          <w:highlight w:val="white"/>
        </w:rPr>
        <w:t>, именуем</w:t>
      </w:r>
      <w:r>
        <w:rPr>
          <w:highlight w:val="white"/>
        </w:rPr>
        <w:t>ое</w:t>
      </w:r>
      <w:r>
        <w:rPr>
          <w:color w:val="000000"/>
          <w:highlight w:val="white"/>
        </w:rPr>
        <w:t xml:space="preserve"> в дальнейшем «Заказчик», с одной стороны, и гр</w:t>
      </w:r>
      <w:r>
        <w:rPr>
          <w:highlight w:val="white"/>
        </w:rPr>
        <w:t>.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_______________</w:t>
      </w:r>
      <w:r>
        <w:rPr>
          <w:color w:val="FF0000"/>
          <w:highlight w:val="white"/>
        </w:rPr>
        <w:t>, именуемый в дальнейшем «Подрядчик»</w:t>
      </w:r>
      <w:r>
        <w:rPr>
          <w:color w:val="000000"/>
          <w:highlight w:val="white"/>
        </w:rPr>
        <w:t>, являющийся плательщиком налога на профессиональный доход, с другой стороны, заключили настоящий Договор о нижеследующем.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1. ПРЕДМЕТ ДОГОВОРА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1.1. Подрядчик обязуется по заданию Заказчика выполнить работы, указанные в </w:t>
      </w:r>
      <w:r>
        <w:rPr>
          <w:color w:val="000000"/>
          <w:highlight w:val="white"/>
        </w:rPr>
        <w:br/>
        <w:t>п. 1.2 настоящего Договора, а Заказчик обязуется принять результат и уплатить Подрядчику вознаграждение за выполненные работы согласно п. 3.1 настоящего Договора.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1.2. Подрядчик, </w:t>
      </w:r>
      <w:r>
        <w:rPr>
          <w:color w:val="000000"/>
          <w:highlight w:val="white"/>
        </w:rPr>
        <w:t xml:space="preserve">в соответствии с условиями настоящего Договора и Техническим заданием, </w:t>
      </w:r>
      <w:sdt>
        <w:sdtPr>
          <w:tag w:val="goog_rdk_0"/>
          <w:id w:val="-1429189146"/>
        </w:sdtPr>
        <w:sdtEndPr/>
        <w:sdtContent/>
      </w:sdt>
      <w:r>
        <w:rPr>
          <w:color w:val="000000"/>
          <w:highlight w:val="white"/>
        </w:rPr>
        <w:t>из материалов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 xml:space="preserve">Заказчика обязуется произвести  работы </w:t>
      </w:r>
      <w:r>
        <w:rPr>
          <w:highlight w:val="white"/>
        </w:rPr>
        <w:t>указанные в техническом задании и смете.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1.</w:t>
      </w:r>
      <w:r>
        <w:rPr>
          <w:highlight w:val="white"/>
        </w:rPr>
        <w:t>3</w:t>
      </w:r>
      <w:r>
        <w:rPr>
          <w:color w:val="000000"/>
          <w:highlight w:val="white"/>
        </w:rPr>
        <w:t>. Период выполнения работ — с</w:t>
      </w:r>
      <w:r>
        <w:rPr>
          <w:highlight w:val="white"/>
        </w:rPr>
        <w:t xml:space="preserve"> __________</w:t>
      </w:r>
      <w:r>
        <w:rPr>
          <w:color w:val="000000"/>
          <w:highlight w:val="white"/>
        </w:rPr>
        <w:t>г. по ___________</w:t>
      </w:r>
      <w:r>
        <w:rPr>
          <w:color w:val="000000"/>
          <w:highlight w:val="white"/>
        </w:rPr>
        <w:t xml:space="preserve"> г.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1.</w:t>
      </w:r>
      <w:r>
        <w:rPr>
          <w:highlight w:val="white"/>
        </w:rPr>
        <w:t>4</w:t>
      </w:r>
      <w:r>
        <w:rPr>
          <w:color w:val="000000"/>
          <w:highlight w:val="white"/>
        </w:rPr>
        <w:t>. Работы считаются выполненными после подписания Акта приема-передачи работ Заказчиком.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2. ПРАВА И ОБЯЗАННОСТИ СТОРОН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2.1. Подрядчик обязан: 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2.1.1. Выполнить работы, являющиеся предметом настоящего Договора, обеспечить надлежащее качество выполненных работ.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2.1.2. Обеспечить соответствие выполненных работ требованиям действующих нормативов и техническим условиям.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2.1.3. Приступить к выполнению </w:t>
      </w:r>
      <w:r>
        <w:rPr>
          <w:color w:val="000000"/>
          <w:highlight w:val="white"/>
        </w:rPr>
        <w:t>работ и произвести их в полном объеме в сроки, предусмотренные п. 1.</w:t>
      </w:r>
      <w:r>
        <w:rPr>
          <w:highlight w:val="white"/>
        </w:rPr>
        <w:t>3</w:t>
      </w:r>
      <w:r>
        <w:rPr>
          <w:color w:val="000000"/>
          <w:highlight w:val="white"/>
        </w:rPr>
        <w:t xml:space="preserve"> настоящего Договора.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2.1.4. Информировать Заказчика о ходе выполнения работ, предусмотренных настоящим Договором.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2.1.5. Исполнять полученные в ходе проведения работ указания Заказчика, </w:t>
      </w:r>
      <w:r>
        <w:rPr>
          <w:color w:val="000000"/>
          <w:highlight w:val="white"/>
        </w:rPr>
        <w:t>если таковые не отразятся на качестве выполняемых работ.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sdt>
        <w:sdtPr>
          <w:tag w:val="goog_rdk_1"/>
          <w:id w:val="-957874691"/>
        </w:sdtPr>
        <w:sdtEndPr/>
        <w:sdtContent/>
      </w:sdt>
      <w:sdt>
        <w:sdtPr>
          <w:tag w:val="goog_rdk_5"/>
          <w:id w:val="1397248903"/>
        </w:sdtPr>
        <w:sdtEndPr/>
        <w:sdtContent/>
      </w:sdt>
      <w:r>
        <w:rPr>
          <w:color w:val="000000"/>
          <w:highlight w:val="white"/>
        </w:rPr>
        <w:t xml:space="preserve">2.1.6. Использовать предоставленные (по описи либо акту) Заказчиком материалы экономно и рационально. После окончания работ предоставить Заказчику отчет о расходовании материалов и возвратить их </w:t>
      </w:r>
      <w:r>
        <w:rPr>
          <w:color w:val="000000"/>
          <w:highlight w:val="white"/>
        </w:rPr>
        <w:t>остаток (при его наличии).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2.1.7. Обеспечить сохранность предоставленных Заказчиком материалов и оборудования, оказавшихся в распоряжении Подрядчика в связи с исполнением условий настоящего Договора.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2.1.8. Обеспечить выполнение требований мер техники б</w:t>
      </w:r>
      <w:r>
        <w:rPr>
          <w:color w:val="000000"/>
          <w:highlight w:val="white"/>
        </w:rPr>
        <w:t>езопасности.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2.1.9. Безвозмездно исправить по требованию Заказчика все выявленные недостатки совершенные по вине </w:t>
      </w:r>
      <w:r>
        <w:rPr>
          <w:highlight w:val="white"/>
        </w:rPr>
        <w:t>П</w:t>
      </w:r>
      <w:r>
        <w:rPr>
          <w:color w:val="000000"/>
          <w:highlight w:val="white"/>
        </w:rPr>
        <w:t>одрядчика.</w:t>
      </w:r>
    </w:p>
    <w:p w:rsidR="00A52567" w:rsidRDefault="00A52567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2.2. Подрядчик имеет право: 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2.2.1. Выполнить работы досрочно.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2.2.2. Требовать своевременной и полной оплаты оказанных работ.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2.2.3. Немедленно известить Заказчика и до получения от него указаний приостановить работы при обнаружении:</w:t>
      </w:r>
    </w:p>
    <w:p w:rsidR="00A52567" w:rsidRDefault="001E1B40" w:rsidP="001E1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непригодности или недоброкачественности предоставленных Заказчиком материалов или оборудования;</w:t>
      </w:r>
    </w:p>
    <w:p w:rsidR="00A52567" w:rsidRDefault="001E1B40" w:rsidP="001E1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возможных неблагоприятных для Заказчика последствий выполнения его указаний о способе исполнения работ;</w:t>
      </w:r>
    </w:p>
    <w:p w:rsidR="00A52567" w:rsidRDefault="001E1B40" w:rsidP="001E1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иных обстоятельств, угрожающих качеству, годности или прочности результатов выполняемой работы, либо создающих невозможность ее завершения в установленн</w:t>
      </w:r>
      <w:r>
        <w:rPr>
          <w:color w:val="000000"/>
          <w:highlight w:val="white"/>
        </w:rPr>
        <w:t>ый срок.</w:t>
      </w:r>
    </w:p>
    <w:p w:rsidR="00A52567" w:rsidRDefault="00A52567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2.3. Заказчик обязан оплатить работы по цене, указанной в пункте 3.1 настоящего Договора </w:t>
      </w:r>
      <w:sdt>
        <w:sdtPr>
          <w:tag w:val="goog_rdk_2"/>
          <w:id w:val="-1172486475"/>
        </w:sdtPr>
        <w:sdtEndPr/>
        <w:sdtContent/>
      </w:sdt>
      <w:sdt>
        <w:sdtPr>
          <w:tag w:val="goog_rdk_6"/>
          <w:id w:val="-682364136"/>
        </w:sdtPr>
        <w:sdtEndPr/>
        <w:sdtContent/>
      </w:sdt>
      <w:r>
        <w:rPr>
          <w:color w:val="000000"/>
          <w:highlight w:val="white"/>
        </w:rPr>
        <w:t>в течение трех дней</w:t>
      </w:r>
      <w:r>
        <w:rPr>
          <w:color w:val="000000"/>
          <w:highlight w:val="white"/>
        </w:rPr>
        <w:t xml:space="preserve"> с момента подписания Акта приема-передачи выполненных работ.</w:t>
      </w:r>
    </w:p>
    <w:p w:rsidR="00A52567" w:rsidRDefault="00A52567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2.4. Заказчик имеет право: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2.4.1. Проверять ход и качество работ, выполняемых Подрядчиком, не вмешиваясь в его деятельность.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2.4.2. Отказаться от исполнения настоящего Договора при условии оплаты Подрядчику фактически понесенных им расходов.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3. ЦЕНА ДОГОВОРА И ПОРЯДОК ОПЛАТЫ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3.1</w:t>
      </w:r>
      <w:r>
        <w:rPr>
          <w:color w:val="000000"/>
          <w:highlight w:val="white"/>
        </w:rPr>
        <w:t xml:space="preserve">. Цена настоящего Договора утверждается Подрядчиком и </w:t>
      </w:r>
      <w:r>
        <w:rPr>
          <w:highlight w:val="white"/>
        </w:rPr>
        <w:t>Заказчиком по факту величины объема выполненных работ в конце периода указанного в пункте 1.3 настоящего Договора.</w:t>
      </w:r>
      <w:r>
        <w:rPr>
          <w:color w:val="000000"/>
          <w:highlight w:val="white"/>
        </w:rPr>
        <w:t xml:space="preserve"> 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3.2. Сумму, указанную в п. 3.1 настоящего Договора, Заказчик перечисляет на счет Подрядчика</w:t>
      </w:r>
      <w:r>
        <w:rPr>
          <w:highlight w:val="white"/>
        </w:rPr>
        <w:t xml:space="preserve"> или производит расчет наличными денежными средствами</w:t>
      </w:r>
      <w:r>
        <w:rPr>
          <w:color w:val="000000"/>
          <w:highlight w:val="white"/>
        </w:rPr>
        <w:t xml:space="preserve">. 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3.3. Заказчик вправе выплатить дополнительное вознаграждение Подрядчику</w:t>
      </w:r>
      <w:sdt>
        <w:sdtPr>
          <w:tag w:val="goog_rdk_3"/>
          <w:id w:val="1249467375"/>
        </w:sdtPr>
        <w:sdtEndPr/>
        <w:sdtContent/>
      </w:sdt>
      <w:sdt>
        <w:sdtPr>
          <w:tag w:val="goog_rdk_4"/>
          <w:id w:val="1018736086"/>
        </w:sdtPr>
        <w:sdtEndPr/>
        <w:sdtContent/>
      </w:sdt>
      <w:r>
        <w:rPr>
          <w:color w:val="000000"/>
          <w:highlight w:val="white"/>
        </w:rPr>
        <w:t>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4. ОТВЕТСТВЕННОСТЬ СТОРОН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4.1. За нарушение условий настоящего Договора стороны несут ответственность в соответствии с действующим законодательством РФ.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4.2 Сторона, нарушившая условия настоящего договора обязана возместить другой стороне причиненные такими действиями убытки.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highlight w:val="white"/>
        </w:rPr>
      </w:pPr>
      <w:r>
        <w:rPr>
          <w:highlight w:val="white"/>
        </w:rPr>
        <w:t>4.3. Подрядчик самостоятельно уплачивает все необходимые налоги и платежи, и несет ответственность за своевременное и правильное их исчисление и уплату.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sz w:val="22"/>
          <w:szCs w:val="22"/>
          <w:highlight w:val="white"/>
        </w:rPr>
      </w:pPr>
      <w:r>
        <w:rPr>
          <w:highlight w:val="white"/>
        </w:rPr>
        <w:t xml:space="preserve">4.4.   </w:t>
      </w:r>
      <w:r>
        <w:rPr>
          <w:sz w:val="22"/>
          <w:szCs w:val="22"/>
          <w:highlight w:val="white"/>
        </w:rPr>
        <w:t>В период действия договора самозанятый не снимается с учета и контролирует свой статус и право п</w:t>
      </w:r>
      <w:r>
        <w:rPr>
          <w:sz w:val="22"/>
          <w:szCs w:val="22"/>
          <w:highlight w:val="white"/>
        </w:rPr>
        <w:t>рименять НПД. В случае снятия с учета или потери права применять специальный налоговый режим “Налог на профессиональный доход” Подрядчик платит неустойку в размере 30% оплаты по договору за тот период, в который работал, как физическое лицо.</w:t>
      </w:r>
    </w:p>
    <w:p w:rsidR="00A52567" w:rsidRDefault="00A52567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highlight w:val="white"/>
        </w:rPr>
      </w:pP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5. ИНЫЕ УСЛОВ</w:t>
      </w:r>
      <w:r>
        <w:rPr>
          <w:color w:val="000000"/>
          <w:highlight w:val="white"/>
        </w:rPr>
        <w:t>ИЯ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5.1. Стороны при заключении настоящего Договора исходили из того, что Подрядчик применяет специальный налоговый режим «Налог на профессиональный доход» (</w:t>
      </w:r>
      <w:r>
        <w:rPr>
          <w:color w:val="000000"/>
          <w:sz w:val="22"/>
          <w:szCs w:val="22"/>
          <w:highlight w:val="white"/>
        </w:rPr>
        <w:t>Федеральный закон от 27.11.2018 № 422-ФЗ)</w:t>
      </w:r>
      <w:r>
        <w:rPr>
          <w:color w:val="000000"/>
          <w:highlight w:val="white"/>
        </w:rPr>
        <w:t xml:space="preserve">. 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5.</w:t>
      </w:r>
      <w:r>
        <w:rPr>
          <w:highlight w:val="white"/>
        </w:rPr>
        <w:t>2</w:t>
      </w:r>
      <w:r>
        <w:rPr>
          <w:color w:val="000000"/>
          <w:highlight w:val="white"/>
        </w:rPr>
        <w:t>. После получения оплаты за выполненные работы в соот</w:t>
      </w:r>
      <w:r>
        <w:rPr>
          <w:color w:val="000000"/>
          <w:highlight w:val="white"/>
        </w:rPr>
        <w:t>ветствии с положениями настоящего Договора Подрядчик обязуется в течение трех рабочих дней передать Заказчику чек (в электронном виде - направив на электронный адрес</w:t>
      </w:r>
      <w:r>
        <w:rPr>
          <w:highlight w:val="white"/>
        </w:rPr>
        <w:t xml:space="preserve"> ---------------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>или распечатанным на бумаге), сформированный при расчете за рабо</w:t>
      </w:r>
      <w:r>
        <w:rPr>
          <w:color w:val="000000"/>
          <w:highlight w:val="white"/>
        </w:rPr>
        <w:t>ты, указанные в п. 1.2 настоящего Договора.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5.</w:t>
      </w:r>
      <w:r>
        <w:rPr>
          <w:highlight w:val="white"/>
        </w:rPr>
        <w:t>3</w:t>
      </w:r>
      <w:r>
        <w:rPr>
          <w:color w:val="000000"/>
          <w:highlight w:val="white"/>
        </w:rPr>
        <w:t>. В случае снятия Подрядчика с учета в качестве плательщика налога на профессиональный доход он обязуется сообщить об этом Заказчику письменно в течение трех рабочих дней с даты снятия с такого учета.</w:t>
      </w:r>
    </w:p>
    <w:p w:rsidR="00A52567" w:rsidRDefault="00A52567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6. ПОРЯДОК РАЗРЕШЕНИЯ СПОРОВ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6.1. Споры и разногласия, которые могут возникнуть при исполнении настоящего Договора, стороны по возможности будут разрешать путем переговоров.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6.2. Если споры не могут быть разрешены путем переговоров, они подлежат </w:t>
      </w:r>
      <w:r>
        <w:rPr>
          <w:color w:val="000000"/>
          <w:highlight w:val="white"/>
        </w:rPr>
        <w:br/>
      </w:r>
      <w:r>
        <w:rPr>
          <w:color w:val="000000"/>
          <w:highlight w:val="white"/>
        </w:rPr>
        <w:t>разрешению в судебном порядке в соответствии с действующим законодательством РФ. </w:t>
      </w:r>
    </w:p>
    <w:p w:rsidR="00A52567" w:rsidRDefault="00A52567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highlight w:val="white"/>
        </w:rPr>
      </w:pP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7. ЗАКЛЮЧИТЕЛЬНЫЕ ПОЛОЖЕНИЯ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7.2. Н</w:t>
      </w:r>
      <w:r>
        <w:rPr>
          <w:color w:val="000000"/>
          <w:highlight w:val="white"/>
        </w:rPr>
        <w:t xml:space="preserve">астоящий Договор составлен в двух экземплярах. Оба экземпляра имеют равную </w:t>
      </w:r>
      <w:r>
        <w:rPr>
          <w:color w:val="000000"/>
          <w:highlight w:val="white"/>
        </w:rPr>
        <w:br/>
        <w:t>юридическую силу. У каждой из сторон находится по одному экземпляру настоящего Договора.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8. АДРЕСА, РЕКВИЗИТЫ И ПОДПИСИ СТОРОН</w:t>
      </w:r>
    </w:p>
    <w:p w:rsidR="00A52567" w:rsidRDefault="001E1B40" w:rsidP="001E1B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tbl>
      <w:tblPr>
        <w:tblStyle w:val="af7"/>
        <w:tblW w:w="9450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4890"/>
        <w:gridCol w:w="4560"/>
      </w:tblGrid>
      <w:tr w:rsidR="00A52567">
        <w:trPr>
          <w:trHeight w:val="5447"/>
        </w:trPr>
        <w:tc>
          <w:tcPr>
            <w:tcW w:w="489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Заказчик:</w:t>
            </w:r>
            <w:r>
              <w:rPr>
                <w:color w:val="000000"/>
                <w:highlight w:val="white"/>
              </w:rPr>
              <w:br/>
            </w:r>
          </w:p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И.П. “____________________”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br/>
              <w:t xml:space="preserve">ИНН </w:t>
            </w:r>
            <w:r>
              <w:rPr>
                <w:highlight w:val="white"/>
              </w:rPr>
              <w:t>_____________________</w:t>
            </w:r>
            <w:r>
              <w:rPr>
                <w:color w:val="000000"/>
                <w:highlight w:val="white"/>
              </w:rPr>
              <w:t xml:space="preserve">, </w:t>
            </w:r>
          </w:p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Адрес: </w:t>
            </w:r>
            <w:r>
              <w:rPr>
                <w:highlight w:val="white"/>
              </w:rPr>
              <w:t>____________________</w:t>
            </w:r>
            <w:r>
              <w:rPr>
                <w:color w:val="000000"/>
                <w:highlight w:val="white"/>
              </w:rPr>
              <w:t xml:space="preserve">, </w:t>
            </w:r>
          </w:p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</w:t>
            </w:r>
            <w:r>
              <w:rPr>
                <w:color w:val="000000"/>
                <w:highlight w:val="white"/>
              </w:rPr>
              <w:br/>
              <w:t xml:space="preserve">р/с </w:t>
            </w:r>
            <w:r>
              <w:rPr>
                <w:highlight w:val="white"/>
              </w:rPr>
              <w:t>_______________</w:t>
            </w:r>
            <w:r>
              <w:rPr>
                <w:color w:val="000000"/>
                <w:highlight w:val="white"/>
              </w:rPr>
              <w:t xml:space="preserve"> в </w:t>
            </w:r>
            <w:r>
              <w:rPr>
                <w:highlight w:val="white"/>
              </w:rPr>
              <w:t>_____</w:t>
            </w:r>
            <w:r>
              <w:rPr>
                <w:color w:val="000000"/>
                <w:highlight w:val="white"/>
              </w:rPr>
              <w:t xml:space="preserve"> «</w:t>
            </w:r>
            <w:r>
              <w:rPr>
                <w:highlight w:val="white"/>
              </w:rPr>
              <w:t>_______</w:t>
            </w:r>
            <w:r>
              <w:rPr>
                <w:color w:val="000000"/>
                <w:highlight w:val="white"/>
              </w:rPr>
              <w:t>»</w:t>
            </w:r>
            <w:r>
              <w:rPr>
                <w:color w:val="000000"/>
                <w:highlight w:val="white"/>
              </w:rPr>
              <w:br/>
              <w:t xml:space="preserve">к/с </w:t>
            </w:r>
            <w:r>
              <w:rPr>
                <w:highlight w:val="white"/>
              </w:rPr>
              <w:t>_______________________________</w:t>
            </w:r>
            <w:r>
              <w:rPr>
                <w:color w:val="000000"/>
                <w:highlight w:val="white"/>
              </w:rPr>
              <w:br/>
              <w:t xml:space="preserve">БИК </w:t>
            </w:r>
            <w:r>
              <w:rPr>
                <w:highlight w:val="white"/>
              </w:rPr>
              <w:t>_____________________________</w:t>
            </w:r>
          </w:p>
          <w:p w:rsidR="00A52567" w:rsidRDefault="00A52567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highlight w:val="white"/>
              </w:rPr>
            </w:pPr>
          </w:p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</w:t>
            </w:r>
            <w:r>
              <w:rPr>
                <w:highlight w:val="white"/>
              </w:rPr>
              <w:t>______________________________</w:t>
            </w:r>
          </w:p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 </w:t>
            </w:r>
          </w:p>
          <w:p w:rsidR="00A52567" w:rsidRDefault="00A52567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</w:p>
          <w:p w:rsidR="00A52567" w:rsidRDefault="00A52567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</w:p>
          <w:p w:rsidR="00A52567" w:rsidRDefault="00A52567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</w:p>
          <w:p w:rsidR="00A52567" w:rsidRDefault="00A52567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</w:p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 </w:t>
            </w:r>
          </w:p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________________</w:t>
            </w:r>
            <w:r>
              <w:rPr>
                <w:highlight w:val="white"/>
              </w:rPr>
              <w:t>/____</w:t>
            </w:r>
            <w:r>
              <w:rPr>
                <w:highlight w:val="white"/>
              </w:rPr>
              <w:t>______________</w:t>
            </w:r>
            <w:r>
              <w:rPr>
                <w:color w:val="000000"/>
                <w:highlight w:val="white"/>
              </w:rPr>
              <w:t xml:space="preserve"> </w:t>
            </w:r>
          </w:p>
        </w:tc>
        <w:tc>
          <w:tcPr>
            <w:tcW w:w="4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Подрядчик:</w:t>
            </w:r>
          </w:p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 </w:t>
            </w:r>
          </w:p>
          <w:p w:rsidR="00A52567" w:rsidRDefault="00A52567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  <w:bookmarkStart w:id="0" w:name="_GoBack"/>
            <w:bookmarkEnd w:id="0"/>
          </w:p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 </w:t>
            </w:r>
          </w:p>
          <w:p w:rsidR="00A52567" w:rsidRDefault="00A52567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</w:p>
          <w:p w:rsidR="00A52567" w:rsidRDefault="00A52567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</w:p>
          <w:p w:rsidR="00A52567" w:rsidRDefault="00A52567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</w:p>
          <w:p w:rsidR="00A52567" w:rsidRDefault="00A52567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</w:p>
          <w:p w:rsidR="00A52567" w:rsidRDefault="00A52567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</w:p>
          <w:p w:rsidR="00A52567" w:rsidRDefault="001E1B40" w:rsidP="001E1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________________ </w:t>
            </w:r>
            <w:r>
              <w:rPr>
                <w:highlight w:val="white"/>
              </w:rPr>
              <w:t>/ _______________</w:t>
            </w:r>
            <w:r>
              <w:rPr>
                <w:color w:val="000000"/>
                <w:highlight w:val="white"/>
              </w:rPr>
              <w:t>.</w:t>
            </w:r>
          </w:p>
        </w:tc>
      </w:tr>
    </w:tbl>
    <w:p w:rsidR="00A52567" w:rsidRDefault="00A52567" w:rsidP="00A52567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  <w:highlight w:val="white"/>
        </w:rPr>
      </w:pPr>
    </w:p>
    <w:sectPr w:rsidR="00A52567">
      <w:pgSz w:w="11906" w:h="16838"/>
      <w:pgMar w:top="1134" w:right="1389" w:bottom="1134" w:left="1389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9"/>
  <w15:commentEx w15:paraId="0000006B"/>
  <w15:commentEx w15:paraId="0000006D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9AF"/>
    <w:multiLevelType w:val="multilevel"/>
    <w:tmpl w:val="C70A77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52567"/>
    <w:rsid w:val="001E1B40"/>
    <w:rsid w:val="00A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actel">
    <w:name w:val="actel"/>
    <w:rPr>
      <w:color w:val="E36C0A"/>
      <w:w w:val="100"/>
      <w:position w:val="-1"/>
      <w:effect w:val="none"/>
      <w:vertAlign w:val="baseline"/>
      <w:cs w:val="0"/>
      <w:em w:val="none"/>
    </w:rPr>
  </w:style>
  <w:style w:type="character" w:styleId="a7">
    <w:name w:val="annotation reference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link w:val="12"/>
    <w:uiPriority w:val="99"/>
    <w:semiHidden/>
    <w:unhideWhenUsed/>
    <w:rPr>
      <w:b/>
      <w:bCs/>
    </w:rPr>
  </w:style>
  <w:style w:type="character" w:customStyle="1" w:styleId="ab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d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e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2">
    <w:name w:val="Неразрешенное упоминание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12">
    <w:name w:val="Тема примечания Знак1"/>
    <w:basedOn w:val="11"/>
    <w:link w:val="aa"/>
    <w:uiPriority w:val="99"/>
    <w:semiHidden/>
    <w:rPr>
      <w:b/>
      <w:bCs/>
      <w:sz w:val="20"/>
      <w:szCs w:val="20"/>
    </w:rPr>
  </w:style>
  <w:style w:type="character" w:customStyle="1" w:styleId="11">
    <w:name w:val="Текст примечания Знак1"/>
    <w:link w:val="a8"/>
    <w:uiPriority w:val="99"/>
    <w:semiHidden/>
    <w:rPr>
      <w:sz w:val="20"/>
      <w:szCs w:val="20"/>
    </w:r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actel">
    <w:name w:val="actel"/>
    <w:rPr>
      <w:color w:val="E36C0A"/>
      <w:w w:val="100"/>
      <w:position w:val="-1"/>
      <w:effect w:val="none"/>
      <w:vertAlign w:val="baseline"/>
      <w:cs w:val="0"/>
      <w:em w:val="none"/>
    </w:rPr>
  </w:style>
  <w:style w:type="character" w:styleId="a7">
    <w:name w:val="annotation reference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link w:val="12"/>
    <w:uiPriority w:val="99"/>
    <w:semiHidden/>
    <w:unhideWhenUsed/>
    <w:rPr>
      <w:b/>
      <w:bCs/>
    </w:rPr>
  </w:style>
  <w:style w:type="character" w:customStyle="1" w:styleId="ab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d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e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2">
    <w:name w:val="Неразрешенное упоминание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12">
    <w:name w:val="Тема примечания Знак1"/>
    <w:basedOn w:val="11"/>
    <w:link w:val="aa"/>
    <w:uiPriority w:val="99"/>
    <w:semiHidden/>
    <w:rPr>
      <w:b/>
      <w:bCs/>
      <w:sz w:val="20"/>
      <w:szCs w:val="20"/>
    </w:rPr>
  </w:style>
  <w:style w:type="character" w:customStyle="1" w:styleId="11">
    <w:name w:val="Текст примечания Знак1"/>
    <w:link w:val="a8"/>
    <w:uiPriority w:val="99"/>
    <w:semiHidden/>
    <w:rPr>
      <w:sz w:val="20"/>
      <w:szCs w:val="20"/>
    </w:r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wKzfZGJo81SpGL9oaqZDEYEMlTQ==">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horoshilova</dc:creator>
  <cp:lastModifiedBy>Виктор</cp:lastModifiedBy>
  <cp:revision>2</cp:revision>
  <dcterms:created xsi:type="dcterms:W3CDTF">2022-01-21T06:05:00Z</dcterms:created>
  <dcterms:modified xsi:type="dcterms:W3CDTF">2022-01-21T06:05:00Z</dcterms:modified>
</cp:coreProperties>
</file>